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062"/>
      </w:tblGrid>
      <w:tr w:rsidR="0027721A" w:rsidRPr="0082437D" w:rsidTr="00976A0A">
        <w:tc>
          <w:tcPr>
            <w:tcW w:w="9062" w:type="dxa"/>
            <w:shd w:val="clear" w:color="auto" w:fill="7F7F7F" w:themeFill="text1" w:themeFillTint="80"/>
          </w:tcPr>
          <w:p w:rsidR="0027721A" w:rsidRPr="0082437D" w:rsidRDefault="0027721A" w:rsidP="00976A0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</w:t>
            </w: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ярка</w:t>
            </w:r>
            <w:proofErr w:type="spellEnd"/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7.5</w:t>
            </w:r>
            <w:r w:rsidRPr="0082437D">
              <w:rPr>
                <w:rFonts w:ascii="Times New Roman" w:hAnsi="Times New Roman" w:cs="Times New Roman"/>
                <w:color w:val="FFFFFF" w:themeColor="background1"/>
              </w:rPr>
              <w:t xml:space="preserve"> „</w:t>
            </w: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Инвестиции за публично ползване в инфраструктура за отдих, турист</w:t>
            </w: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Pr="0082437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ческа информация и малка по мащаб туристическа инфраструктура“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Цели и обхват на мярката: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има следните специфични цели: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Подобряване на средата на живот на територията на МИГ Белене-Никопол;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2. Подобряване на туристическата инфраструктура, атракциите и съоръженията за посетители на територията на общината;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Обхват: По мярката се подпомагат проекти за инвестиции за туристическа инфрас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руктура, общинска собственост или собственост на ЮЛНЦ, развитие на туристиче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ки услуги и атракции за посетителите. Изпълнява се на територията на МИГ Белене-Никопол.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получатели: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4C5B">
              <w:rPr>
                <w:rFonts w:ascii="Times New Roman" w:hAnsi="Times New Roman" w:cs="Times New Roman"/>
              </w:rPr>
              <w:t xml:space="preserve">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Община Белене;Община Никопол;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Юридически лица с нестопанска цел със седалище на територията на община Б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лене и община Никопол.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дейности: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Допустими дейности са: 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1. Изграждане, реконструкция, ремонт, закупуване на оборудване и/или обзавеждане на туристически информационни центрове;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2. Изграждане, реконструкция, ремонт, закупуване на оборудване и/или обзавеждане на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посетителските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центрове за представяне и експониране на местното природно и културно наследство;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3. Изграждане, реконструкция, ремонт, закупуване на оборудване и/или обзавеждане на центровете за изкуство и занаяти с туристическа цел;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4. 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ледство и предоставящи услуги с познавателна или образователна цел;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5. 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велоалеи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туристически пътеки).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Недопустими дейности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допустими за подпомагане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 дейности свързани с опазването, поп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ляризирането и развитието на културното наследство на обекти от национално и св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товно значение.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Допустими разходи: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Разходите се свеждат до: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а) Изграждането, включително отпускането на лизинг, или подобренията на недв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жимо имущество;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б) Закупуването или вземането на лизинг на нови машини и оборудване, обзавеждане до пазарната цена на актива;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в) 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г) Следните нематериални инвестиции: придобиването или развитието на компют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рен софтуер и придобиването на патенти, лицензи, авторски права, търговски марки.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Разходите по т. „в“ не трябва да надхвърлят 12% от сумата на разходите по т. „а“, „б“ и „г“.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Оперативните разходи, свързани с предоставянето на услугите са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едопустими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подпомагане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Разходи различни от посочените в т. „б“, свързани с договора за лизинг, например марж на </w:t>
            </w:r>
            <w:proofErr w:type="spellStart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лизингодателя</w:t>
            </w:r>
            <w:proofErr w:type="spellEnd"/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, разходи за рефинансиране на лихви, административни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ходи и разходи за застраховка са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едопустими за подпомагане по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мярката.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Недопустими са разходите съгласно чл. 21 от Наредба №22 от 14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ември 2015г. за прилагане на 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мярка 19.2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Финансови параметри на проектите: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Минималният размер на общите допустими разходи за един проект е левовата ра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ностойност на 5 000 евро. Максималният размер на общите допустими разходи за един проект е левовата равностойност на 40 000 евро.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Интензитет и размер на помощта: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auto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Финансовата помощ за одобрени проекти е в размер За общини, ЮЛНЦ в обществена полза се предвижда 100% финансиране в случай, че не е налично генериране на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ходи. 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70% от общите допустими разходи за проекти извън горните случаи.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Размер на финансовата помощ: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Максималният размер на финансовата помощ за ЮЛНЦ или читалище, подали пр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екти в рамките на изпълнение на стратегията за ВОМР не може да надвишава 200 000 евро. 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Общата финансова помощ не може да надхвърля  200 000 евро за период от три по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ледователни данъчни години.  </w:t>
            </w:r>
          </w:p>
        </w:tc>
      </w:tr>
      <w:tr w:rsidR="0027721A" w:rsidRPr="00D74C5B" w:rsidTr="00976A0A">
        <w:tc>
          <w:tcPr>
            <w:tcW w:w="9062" w:type="dxa"/>
            <w:shd w:val="clear" w:color="auto" w:fill="BFBFBF" w:themeFill="background1" w:themeFillShade="BF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Критерии за оценка на проектите и тяхната тежест:</w:t>
            </w:r>
          </w:p>
        </w:tc>
      </w:tr>
      <w:tr w:rsidR="0027721A" w:rsidRPr="00D74C5B" w:rsidTr="00976A0A">
        <w:tc>
          <w:tcPr>
            <w:tcW w:w="9062" w:type="dxa"/>
          </w:tcPr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отговарящи на приоритетите и целите на Общински план за развитие за периода 2014-2020г. и плана за управление на природен парк Персина – 30 т.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обхващащи територията на повече от  едно или осигуряващи ползи за п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вече от едно населено място - 40 т.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създаващи работни места при изпълнение на допустимите дейности - 20 т;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• Проекти, предлагащи инвестиции в туристически атракции/услуги, които са знач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C5B">
              <w:rPr>
                <w:rFonts w:ascii="Times New Roman" w:hAnsi="Times New Roman" w:cs="Times New Roman"/>
                <w:sz w:val="24"/>
                <w:szCs w:val="24"/>
              </w:rPr>
              <w:t>ми за идентичността на района/културни празници, местни обичаи и занаяти/.- 10 т.</w:t>
            </w:r>
          </w:p>
          <w:p w:rsidR="0027721A" w:rsidRPr="00D74C5B" w:rsidRDefault="0027721A" w:rsidP="0097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D7E" w:rsidRDefault="00110D7E"/>
    <w:sectPr w:rsidR="00110D7E" w:rsidSect="0011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21A"/>
    <w:rsid w:val="000A6E4F"/>
    <w:rsid w:val="00110D7E"/>
    <w:rsid w:val="0027721A"/>
    <w:rsid w:val="007A328B"/>
    <w:rsid w:val="00B202D2"/>
    <w:rsid w:val="00E329D2"/>
    <w:rsid w:val="00FD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Pernikova</dc:creator>
  <cp:keywords/>
  <dc:description/>
  <cp:lastModifiedBy>Pernikova</cp:lastModifiedBy>
  <cp:revision>2</cp:revision>
  <dcterms:created xsi:type="dcterms:W3CDTF">2017-08-03T05:50:00Z</dcterms:created>
  <dcterms:modified xsi:type="dcterms:W3CDTF">2017-08-03T05:50:00Z</dcterms:modified>
</cp:coreProperties>
</file>